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498" w:type="dxa"/>
        <w:tblInd w:w="-289" w:type="dxa"/>
        <w:tblLook w:val="04A0" w:firstRow="1" w:lastRow="0" w:firstColumn="1" w:lastColumn="0" w:noHBand="0" w:noVBand="1"/>
      </w:tblPr>
      <w:tblGrid>
        <w:gridCol w:w="9498"/>
      </w:tblGrid>
      <w:tr w:rsidR="00F91B93" w:rsidRPr="00E330D2" w14:paraId="6B31DD8D" w14:textId="77777777" w:rsidTr="00F91B93">
        <w:tc>
          <w:tcPr>
            <w:tcW w:w="9498" w:type="dxa"/>
            <w:shd w:val="clear" w:color="auto" w:fill="E8E8E8" w:themeFill="background2"/>
          </w:tcPr>
          <w:p w14:paraId="0B3AD609" w14:textId="77777777" w:rsidR="00F91B93" w:rsidRPr="00E330D2" w:rsidRDefault="00F91B93" w:rsidP="0019727B">
            <w:pPr>
              <w:jc w:val="center"/>
              <w:rPr>
                <w:rFonts w:ascii="Verdana" w:hAnsi="Verdana"/>
                <w:b/>
                <w:bCs/>
              </w:rPr>
            </w:pPr>
            <w:r w:rsidRPr="00E330D2">
              <w:rPr>
                <w:rFonts w:ascii="Verdana" w:hAnsi="Verdana"/>
                <w:b/>
                <w:bCs/>
              </w:rPr>
              <w:t>Tema</w:t>
            </w:r>
          </w:p>
        </w:tc>
      </w:tr>
      <w:tr w:rsidR="00F91B93" w:rsidRPr="00E330D2" w14:paraId="61269278" w14:textId="77777777" w:rsidTr="00F91B93">
        <w:tc>
          <w:tcPr>
            <w:tcW w:w="9498" w:type="dxa"/>
          </w:tcPr>
          <w:p w14:paraId="730D5298" w14:textId="77777777" w:rsidR="00F91B93" w:rsidRPr="00E330D2" w:rsidRDefault="00F91B93" w:rsidP="0019727B">
            <w:pPr>
              <w:jc w:val="both"/>
              <w:rPr>
                <w:rFonts w:ascii="Verdana" w:hAnsi="Verdana"/>
              </w:rPr>
            </w:pPr>
            <w:r w:rsidRPr="005620CC">
              <w:rPr>
                <w:rFonts w:ascii="Verdana" w:hAnsi="Verdana"/>
              </w:rPr>
              <w:t>Suspensión contractual, garantía única de cumplimiento, prescripción de la acción derivada del contrato de seguro, liquidación del contrato estatal, proceso de responsabilidad fiscal, cierre de expediente contractual.</w:t>
            </w:r>
          </w:p>
        </w:tc>
      </w:tr>
      <w:tr w:rsidR="00F91B93" w:rsidRPr="00E330D2" w14:paraId="39EA2103" w14:textId="77777777" w:rsidTr="00F91B93">
        <w:tc>
          <w:tcPr>
            <w:tcW w:w="9498" w:type="dxa"/>
            <w:shd w:val="clear" w:color="auto" w:fill="E8E8E8" w:themeFill="background2"/>
          </w:tcPr>
          <w:p w14:paraId="1FCDEC2C" w14:textId="77777777" w:rsidR="00F91B93" w:rsidRPr="00E330D2" w:rsidRDefault="00F91B93" w:rsidP="0019727B">
            <w:pPr>
              <w:jc w:val="center"/>
              <w:rPr>
                <w:rFonts w:ascii="Verdana" w:hAnsi="Verdana"/>
                <w:b/>
                <w:bCs/>
              </w:rPr>
            </w:pPr>
            <w:r w:rsidRPr="00E330D2">
              <w:rPr>
                <w:rFonts w:ascii="Verdana" w:hAnsi="Verdana"/>
                <w:b/>
                <w:bCs/>
              </w:rPr>
              <w:t>CRM</w:t>
            </w:r>
          </w:p>
        </w:tc>
      </w:tr>
      <w:tr w:rsidR="00F91B93" w:rsidRPr="00E330D2" w14:paraId="58EB933D" w14:textId="77777777" w:rsidTr="00F91B93">
        <w:tc>
          <w:tcPr>
            <w:tcW w:w="9498" w:type="dxa"/>
          </w:tcPr>
          <w:p w14:paraId="66013F70" w14:textId="77777777" w:rsidR="00F91B93" w:rsidRPr="00E330D2" w:rsidRDefault="00F91B93" w:rsidP="0019727B">
            <w:pPr>
              <w:jc w:val="center"/>
              <w:rPr>
                <w:rFonts w:ascii="Verdana" w:hAnsi="Verdana"/>
              </w:rPr>
            </w:pPr>
            <w:r>
              <w:rPr>
                <w:rFonts w:ascii="Verdana" w:hAnsi="Verdana"/>
              </w:rPr>
              <w:t>51938</w:t>
            </w:r>
          </w:p>
        </w:tc>
      </w:tr>
      <w:tr w:rsidR="00F91B93" w:rsidRPr="00E330D2" w14:paraId="1F63C0DD" w14:textId="77777777" w:rsidTr="00F91B93">
        <w:tc>
          <w:tcPr>
            <w:tcW w:w="9498" w:type="dxa"/>
            <w:shd w:val="clear" w:color="auto" w:fill="E8E8E8" w:themeFill="background2"/>
          </w:tcPr>
          <w:p w14:paraId="607C660C" w14:textId="77777777" w:rsidR="00F91B93" w:rsidRPr="00E330D2" w:rsidRDefault="00F91B93" w:rsidP="0019727B">
            <w:pPr>
              <w:jc w:val="center"/>
              <w:rPr>
                <w:rFonts w:ascii="Verdana" w:hAnsi="Verdana"/>
                <w:b/>
                <w:bCs/>
              </w:rPr>
            </w:pPr>
            <w:r w:rsidRPr="00E330D2">
              <w:rPr>
                <w:rFonts w:ascii="Verdana" w:hAnsi="Verdana"/>
                <w:b/>
                <w:bCs/>
              </w:rPr>
              <w:t>Problema(s) jurídico(s)</w:t>
            </w:r>
          </w:p>
        </w:tc>
      </w:tr>
      <w:tr w:rsidR="00F91B93" w:rsidRPr="00E330D2" w14:paraId="54AF9770" w14:textId="77777777" w:rsidTr="00F91B93">
        <w:tc>
          <w:tcPr>
            <w:tcW w:w="9498" w:type="dxa"/>
          </w:tcPr>
          <w:p w14:paraId="50EAA458" w14:textId="77777777" w:rsidR="00F91B93" w:rsidRPr="00E330D2" w:rsidRDefault="00F91B93" w:rsidP="0019727B">
            <w:pPr>
              <w:jc w:val="both"/>
              <w:rPr>
                <w:rFonts w:ascii="Verdana" w:hAnsi="Verdana"/>
              </w:rPr>
            </w:pPr>
            <w:r>
              <w:rPr>
                <w:rFonts w:ascii="Verdana" w:hAnsi="Verdana"/>
              </w:rPr>
              <w:t>A</w:t>
            </w:r>
            <w:r w:rsidRPr="005620CC">
              <w:rPr>
                <w:rFonts w:ascii="Verdana" w:hAnsi="Verdana"/>
              </w:rPr>
              <w:t>cciones que deben adoptarse frente a</w:t>
            </w:r>
            <w:r>
              <w:rPr>
                <w:rFonts w:ascii="Verdana" w:hAnsi="Verdana"/>
              </w:rPr>
              <w:t xml:space="preserve"> un</w:t>
            </w:r>
            <w:r w:rsidRPr="005620CC">
              <w:rPr>
                <w:rFonts w:ascii="Verdana" w:hAnsi="Verdana"/>
              </w:rPr>
              <w:t xml:space="preserve"> contrato de consultoría </w:t>
            </w:r>
            <w:r>
              <w:rPr>
                <w:rFonts w:ascii="Verdana" w:hAnsi="Verdana"/>
              </w:rPr>
              <w:t>que</w:t>
            </w:r>
            <w:r w:rsidRPr="005620CC">
              <w:rPr>
                <w:rFonts w:ascii="Verdana" w:hAnsi="Verdana"/>
              </w:rPr>
              <w:t xml:space="preserve"> se encuentra </w:t>
            </w:r>
            <w:r>
              <w:rPr>
                <w:rFonts w:ascii="Verdana" w:hAnsi="Verdana"/>
              </w:rPr>
              <w:t xml:space="preserve">presuntamente </w:t>
            </w:r>
            <w:r w:rsidRPr="005620CC">
              <w:rPr>
                <w:rFonts w:ascii="Verdana" w:hAnsi="Verdana"/>
              </w:rPr>
              <w:t>suspendido</w:t>
            </w:r>
            <w:r>
              <w:rPr>
                <w:rFonts w:ascii="Verdana" w:hAnsi="Verdana"/>
              </w:rPr>
              <w:t>, porque no hay evidencia de la suscripción de un acta de suspensión.</w:t>
            </w:r>
          </w:p>
        </w:tc>
      </w:tr>
      <w:tr w:rsidR="00F91B93" w:rsidRPr="00E330D2" w14:paraId="26491EB2" w14:textId="77777777" w:rsidTr="00F91B93">
        <w:tc>
          <w:tcPr>
            <w:tcW w:w="9498" w:type="dxa"/>
            <w:shd w:val="clear" w:color="auto" w:fill="E8E8E8" w:themeFill="background2"/>
          </w:tcPr>
          <w:p w14:paraId="6F518ADC" w14:textId="77777777" w:rsidR="00F91B93" w:rsidRPr="00E330D2" w:rsidRDefault="00F91B93" w:rsidP="0019727B">
            <w:pPr>
              <w:jc w:val="center"/>
              <w:rPr>
                <w:rFonts w:ascii="Verdana" w:hAnsi="Verdana"/>
                <w:b/>
                <w:bCs/>
              </w:rPr>
            </w:pPr>
            <w:r w:rsidRPr="00E330D2">
              <w:rPr>
                <w:rFonts w:ascii="Verdana" w:hAnsi="Verdana"/>
                <w:b/>
                <w:bCs/>
              </w:rPr>
              <w:t>Análisis jurídico</w:t>
            </w:r>
          </w:p>
        </w:tc>
      </w:tr>
      <w:tr w:rsidR="00F91B93" w:rsidRPr="00E330D2" w14:paraId="7351F437" w14:textId="77777777" w:rsidTr="00F91B93">
        <w:tc>
          <w:tcPr>
            <w:tcW w:w="9498" w:type="dxa"/>
          </w:tcPr>
          <w:p w14:paraId="5E2B6768" w14:textId="77777777" w:rsidR="00F91B93" w:rsidRDefault="00F91B93" w:rsidP="0019727B">
            <w:pPr>
              <w:jc w:val="both"/>
              <w:rPr>
                <w:rFonts w:ascii="Verdana" w:hAnsi="Verdana"/>
              </w:rPr>
            </w:pPr>
            <w:r>
              <w:rPr>
                <w:rFonts w:ascii="Verdana" w:hAnsi="Verdana"/>
              </w:rPr>
              <w:t>L</w:t>
            </w:r>
            <w:r w:rsidRPr="005620CC">
              <w:rPr>
                <w:rFonts w:ascii="Verdana" w:hAnsi="Verdana"/>
              </w:rPr>
              <w:t>os contratos estatales deben constar por escrito, al igual que todas sus modificaciones esenciales, tales como las suspensiones, prórrogas o adiciones. Así mismo, la normativa vigente obliga a la publicación de los documentos у actos administrativos en el Sistema Electrónico para la Contratación Pública, en adelante SECOP, dentro de los tres (3) días siguientes a su expedición, como lo dispone el artículo 19 de la Ley 1150 de 2007 y el artículo 2.2.1.1.1.7.1 del Decreto 1082 de 2015.</w:t>
            </w:r>
          </w:p>
          <w:p w14:paraId="422AEB54" w14:textId="77777777" w:rsidR="00F91B93" w:rsidRDefault="00F91B93" w:rsidP="0019727B">
            <w:pPr>
              <w:jc w:val="both"/>
              <w:rPr>
                <w:rFonts w:ascii="Verdana" w:hAnsi="Verdana"/>
              </w:rPr>
            </w:pPr>
          </w:p>
          <w:p w14:paraId="0392DA99" w14:textId="77777777" w:rsidR="00F91B93" w:rsidRDefault="00F91B93" w:rsidP="0019727B">
            <w:pPr>
              <w:jc w:val="both"/>
              <w:rPr>
                <w:rFonts w:ascii="Verdana" w:hAnsi="Verdana"/>
              </w:rPr>
            </w:pPr>
            <w:r>
              <w:rPr>
                <w:rFonts w:ascii="Verdana" w:hAnsi="Verdana"/>
              </w:rPr>
              <w:t>E</w:t>
            </w:r>
            <w:r w:rsidRPr="005620CC">
              <w:rPr>
                <w:rFonts w:ascii="Verdana" w:hAnsi="Verdana"/>
              </w:rPr>
              <w:t xml:space="preserve">l artículo 209 constitucional, el numeral 8 del artículo 3 de la Ley 1437 de 2011, dispone que: "(...) </w:t>
            </w:r>
            <w:r w:rsidRPr="00605F83">
              <w:rPr>
                <w:rFonts w:ascii="Verdana" w:hAnsi="Verdana"/>
                <w:i/>
                <w:iCs/>
              </w:rPr>
              <w:t>En virtud del principio de transparencia, la actividad administrativa es del dominio público, por consiguiente, toda persona puede conocer las actuaciones de la administración, salvo reserva legal</w:t>
            </w:r>
            <w:r w:rsidRPr="005620CC">
              <w:rPr>
                <w:rFonts w:ascii="Verdana" w:hAnsi="Verdana"/>
              </w:rPr>
              <w:t xml:space="preserve"> (...)".</w:t>
            </w:r>
          </w:p>
          <w:p w14:paraId="33D8D455" w14:textId="77777777" w:rsidR="00F91B93" w:rsidRDefault="00F91B93" w:rsidP="0019727B">
            <w:pPr>
              <w:jc w:val="both"/>
              <w:rPr>
                <w:rFonts w:ascii="Verdana" w:hAnsi="Verdana"/>
              </w:rPr>
            </w:pPr>
          </w:p>
          <w:p w14:paraId="1FBB6658" w14:textId="044898BA" w:rsidR="00F91B93" w:rsidRPr="00E330D2" w:rsidRDefault="00F91B93" w:rsidP="00F91B93">
            <w:pPr>
              <w:jc w:val="both"/>
              <w:rPr>
                <w:rFonts w:ascii="Verdana" w:hAnsi="Verdana"/>
              </w:rPr>
            </w:pPr>
            <w:r w:rsidRPr="005620CC">
              <w:rPr>
                <w:rFonts w:ascii="Verdana" w:hAnsi="Verdana"/>
              </w:rPr>
              <w:t xml:space="preserve">Respecto de la suspensión de los contratos estatales, el Consejo de Estado se ha pronunciado señalando </w:t>
            </w:r>
            <w:proofErr w:type="gramStart"/>
            <w:r w:rsidRPr="005620CC">
              <w:rPr>
                <w:rFonts w:ascii="Verdana" w:hAnsi="Verdana"/>
              </w:rPr>
              <w:t>que</w:t>
            </w:r>
            <w:proofErr w:type="gramEnd"/>
            <w:r w:rsidRPr="005620CC">
              <w:rPr>
                <w:rFonts w:ascii="Verdana" w:hAnsi="Verdana"/>
              </w:rPr>
              <w:t xml:space="preserve"> como medida excepcional, está encaminada a reconocer la ocurrencia de situaciones de fuerza mayor, caso fortuito o de interés público que impiden la ejecución temporal del negocio jurídico</w:t>
            </w:r>
            <w:r>
              <w:rPr>
                <w:rFonts w:ascii="Verdana" w:hAnsi="Verdana"/>
              </w:rPr>
              <w:t>.</w:t>
            </w:r>
            <w:r>
              <w:rPr>
                <w:rFonts w:ascii="Verdana" w:hAnsi="Verdana"/>
              </w:rPr>
              <w:t xml:space="preserve"> </w:t>
            </w:r>
            <w:r>
              <w:rPr>
                <w:rFonts w:ascii="Verdana" w:hAnsi="Verdana"/>
              </w:rPr>
              <w:t>La suspensión debe constar siempre por escrito.</w:t>
            </w:r>
          </w:p>
        </w:tc>
      </w:tr>
      <w:tr w:rsidR="00F91B93" w:rsidRPr="00E330D2" w14:paraId="2EA7976A" w14:textId="77777777" w:rsidTr="00F91B93">
        <w:tc>
          <w:tcPr>
            <w:tcW w:w="9498" w:type="dxa"/>
            <w:shd w:val="clear" w:color="auto" w:fill="E8E8E8" w:themeFill="background2"/>
          </w:tcPr>
          <w:p w14:paraId="2A12CF4D" w14:textId="77777777" w:rsidR="00F91B93" w:rsidRPr="00E330D2" w:rsidRDefault="00F91B93" w:rsidP="0019727B">
            <w:pPr>
              <w:jc w:val="center"/>
              <w:rPr>
                <w:rFonts w:ascii="Verdana" w:hAnsi="Verdana"/>
                <w:b/>
                <w:bCs/>
              </w:rPr>
            </w:pPr>
            <w:r w:rsidRPr="00E330D2">
              <w:rPr>
                <w:rFonts w:ascii="Verdana" w:hAnsi="Verdana"/>
                <w:b/>
                <w:bCs/>
              </w:rPr>
              <w:t>Respuesta</w:t>
            </w:r>
          </w:p>
        </w:tc>
      </w:tr>
      <w:tr w:rsidR="00F91B93" w:rsidRPr="00E330D2" w14:paraId="1BDDB956" w14:textId="77777777" w:rsidTr="00F91B93">
        <w:tc>
          <w:tcPr>
            <w:tcW w:w="9498" w:type="dxa"/>
          </w:tcPr>
          <w:p w14:paraId="6E687A32" w14:textId="77777777" w:rsidR="00F91B93" w:rsidRDefault="00F91B93" w:rsidP="0019727B">
            <w:pPr>
              <w:jc w:val="both"/>
              <w:rPr>
                <w:rFonts w:ascii="Verdana" w:hAnsi="Verdana"/>
              </w:rPr>
            </w:pPr>
            <w:r>
              <w:rPr>
                <w:rFonts w:ascii="Verdana" w:hAnsi="Verdana"/>
              </w:rPr>
              <w:t>L</w:t>
            </w:r>
            <w:r w:rsidRPr="005620CC">
              <w:rPr>
                <w:rFonts w:ascii="Verdana" w:hAnsi="Verdana"/>
              </w:rPr>
              <w:t xml:space="preserve">a ausencia de </w:t>
            </w:r>
            <w:r>
              <w:rPr>
                <w:rFonts w:ascii="Verdana" w:hAnsi="Verdana"/>
              </w:rPr>
              <w:t>constancia</w:t>
            </w:r>
            <w:r w:rsidRPr="005620CC">
              <w:rPr>
                <w:rFonts w:ascii="Verdana" w:hAnsi="Verdana"/>
              </w:rPr>
              <w:t xml:space="preserve"> escrita de suspensión</w:t>
            </w:r>
            <w:r>
              <w:rPr>
                <w:rFonts w:ascii="Verdana" w:hAnsi="Verdana"/>
              </w:rPr>
              <w:t xml:space="preserve"> (acta)</w:t>
            </w:r>
            <w:r w:rsidRPr="005620CC">
              <w:rPr>
                <w:rFonts w:ascii="Verdana" w:hAnsi="Verdana"/>
              </w:rPr>
              <w:t>, además de representar una eventual omisión de los preceptos legales y contractuales antes citados, podría implicar que el plazo contractual continuó su curso normal y que el contrato a la fecha se encuentra terminado por vencimiento del plazo o por la imposibilidad de desarrollar el objeto del contrato,</w:t>
            </w:r>
            <w:r>
              <w:rPr>
                <w:rFonts w:ascii="Verdana" w:hAnsi="Verdana"/>
              </w:rPr>
              <w:t xml:space="preserve"> por lo que iniciar alguna acción judicial quizás sea apresurado. </w:t>
            </w:r>
          </w:p>
          <w:p w14:paraId="3924D550" w14:textId="77777777" w:rsidR="00F91B93" w:rsidRDefault="00F91B93" w:rsidP="0019727B">
            <w:pPr>
              <w:jc w:val="both"/>
              <w:rPr>
                <w:rFonts w:ascii="Verdana" w:hAnsi="Verdana"/>
              </w:rPr>
            </w:pPr>
          </w:p>
          <w:p w14:paraId="55182F5C" w14:textId="77777777" w:rsidR="00F91B93" w:rsidRPr="00E330D2" w:rsidRDefault="00F91B93" w:rsidP="0019727B">
            <w:pPr>
              <w:jc w:val="both"/>
              <w:rPr>
                <w:rFonts w:ascii="Verdana" w:hAnsi="Verdana"/>
              </w:rPr>
            </w:pPr>
            <w:r>
              <w:rPr>
                <w:rFonts w:ascii="Verdana" w:hAnsi="Verdana"/>
              </w:rPr>
              <w:t>Así las cosas</w:t>
            </w:r>
            <w:r w:rsidRPr="00FA48AD">
              <w:rPr>
                <w:rFonts w:ascii="Verdana" w:hAnsi="Verdana"/>
              </w:rPr>
              <w:t>, de verificarse tal situación relacionada con el vencimiento del plazo de ejecución del contrato, la entidad se encontraría imposibilitada para aplicar remedios contractuales, tales como el inicio de procedimientos administrativos sancionatorios para la declaratoria del presunto incumplimiento del contrato y afectación del amparo de cumplimiento, o el</w:t>
            </w:r>
            <w:r>
              <w:rPr>
                <w:rFonts w:ascii="Verdana" w:hAnsi="Verdana"/>
              </w:rPr>
              <w:t xml:space="preserve"> </w:t>
            </w:r>
            <w:r w:rsidRPr="00FA48AD">
              <w:rPr>
                <w:rFonts w:ascii="Verdana" w:hAnsi="Verdana"/>
              </w:rPr>
              <w:t>establecimiento del estado y balance final del contrato estatal mediante la liquidación bilateral, unilateral o judicial, dada la pérdida de competencia para el ejercicio de dichas prerrogativas.</w:t>
            </w:r>
          </w:p>
        </w:tc>
      </w:tr>
    </w:tbl>
    <w:p w14:paraId="684D5F3C" w14:textId="77777777" w:rsidR="006563FE" w:rsidRPr="00F91B93" w:rsidRDefault="006563FE" w:rsidP="00F91B93"/>
    <w:sectPr w:rsidR="006563FE" w:rsidRPr="00F91B93" w:rsidSect="00F91B93">
      <w:headerReference w:type="default" r:id="rId4"/>
      <w:footerReference w:type="default" r:id="rId5"/>
      <w:pgSz w:w="12240" w:h="15840"/>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2E8EC879" w14:textId="77777777" w:rsidR="00F91B93" w:rsidRDefault="00F91B93"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36AD9868" w14:textId="77777777" w:rsidR="00F91B93" w:rsidRPr="00D34D20" w:rsidRDefault="00F91B93" w:rsidP="00D34D20">
    <w:pPr>
      <w:spacing w:line="276" w:lineRule="auto"/>
      <w:jc w:val="both"/>
      <w:rPr>
        <w:rFonts w:ascii="Helvetica" w:hAnsi="Helvetic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9775" w14:textId="77777777" w:rsidR="00F91B93" w:rsidRDefault="00F91B93">
    <w:pPr>
      <w:pStyle w:val="Encabezado"/>
    </w:pPr>
    <w:r>
      <w:rPr>
        <w:noProof/>
        <w14:ligatures w14:val="standardContextual"/>
      </w:rPr>
      <w:drawing>
        <wp:inline distT="0" distB="0" distL="0" distR="0" wp14:anchorId="51381E2B" wp14:editId="70EA397A">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64ABDFB3" wp14:editId="30B1C2E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93"/>
    <w:rsid w:val="00045689"/>
    <w:rsid w:val="006563FE"/>
    <w:rsid w:val="006A1B54"/>
    <w:rsid w:val="00F91B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A732"/>
  <w15:chartTrackingRefBased/>
  <w15:docId w15:val="{2034EC1C-86DA-4E4D-B29C-8E0B5087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B93"/>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91B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91B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91B9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91B9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91B9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91B9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91B9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91B9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F91B9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B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1B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1B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1B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1B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1B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1B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1B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1B93"/>
    <w:rPr>
      <w:rFonts w:eastAsiaTheme="majorEastAsia" w:cstheme="majorBidi"/>
      <w:color w:val="272727" w:themeColor="text1" w:themeTint="D8"/>
    </w:rPr>
  </w:style>
  <w:style w:type="paragraph" w:styleId="Ttulo">
    <w:name w:val="Title"/>
    <w:basedOn w:val="Normal"/>
    <w:next w:val="Normal"/>
    <w:link w:val="TtuloCar"/>
    <w:uiPriority w:val="10"/>
    <w:qFormat/>
    <w:rsid w:val="00F91B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91B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1B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91B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1B9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91B93"/>
    <w:rPr>
      <w:i/>
      <w:iCs/>
      <w:color w:val="404040" w:themeColor="text1" w:themeTint="BF"/>
    </w:rPr>
  </w:style>
  <w:style w:type="paragraph" w:styleId="Prrafodelista">
    <w:name w:val="List Paragraph"/>
    <w:basedOn w:val="Normal"/>
    <w:uiPriority w:val="34"/>
    <w:qFormat/>
    <w:rsid w:val="00F91B9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91B93"/>
    <w:rPr>
      <w:i/>
      <w:iCs/>
      <w:color w:val="0F4761" w:themeColor="accent1" w:themeShade="BF"/>
    </w:rPr>
  </w:style>
  <w:style w:type="paragraph" w:styleId="Citadestacada">
    <w:name w:val="Intense Quote"/>
    <w:basedOn w:val="Normal"/>
    <w:next w:val="Normal"/>
    <w:link w:val="CitadestacadaCar"/>
    <w:uiPriority w:val="30"/>
    <w:qFormat/>
    <w:rsid w:val="00F91B9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91B93"/>
    <w:rPr>
      <w:i/>
      <w:iCs/>
      <w:color w:val="0F4761" w:themeColor="accent1" w:themeShade="BF"/>
    </w:rPr>
  </w:style>
  <w:style w:type="character" w:styleId="Referenciaintensa">
    <w:name w:val="Intense Reference"/>
    <w:basedOn w:val="Fuentedeprrafopredeter"/>
    <w:uiPriority w:val="32"/>
    <w:qFormat/>
    <w:rsid w:val="00F91B93"/>
    <w:rPr>
      <w:b/>
      <w:bCs/>
      <w:smallCaps/>
      <w:color w:val="0F4761" w:themeColor="accent1" w:themeShade="BF"/>
      <w:spacing w:val="5"/>
    </w:rPr>
  </w:style>
  <w:style w:type="paragraph" w:styleId="Encabezado">
    <w:name w:val="header"/>
    <w:basedOn w:val="Normal"/>
    <w:link w:val="EncabezadoCar"/>
    <w:uiPriority w:val="99"/>
    <w:unhideWhenUsed/>
    <w:rsid w:val="00F91B93"/>
    <w:pPr>
      <w:tabs>
        <w:tab w:val="center" w:pos="4419"/>
        <w:tab w:val="right" w:pos="8838"/>
      </w:tabs>
    </w:pPr>
  </w:style>
  <w:style w:type="character" w:customStyle="1" w:styleId="EncabezadoCar">
    <w:name w:val="Encabezado Car"/>
    <w:basedOn w:val="Fuentedeprrafopredeter"/>
    <w:link w:val="Encabezado"/>
    <w:uiPriority w:val="99"/>
    <w:rsid w:val="00F91B93"/>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91B93"/>
    <w:pPr>
      <w:tabs>
        <w:tab w:val="center" w:pos="4419"/>
        <w:tab w:val="right" w:pos="8838"/>
      </w:tabs>
    </w:pPr>
  </w:style>
  <w:style w:type="character" w:customStyle="1" w:styleId="PiedepginaCar">
    <w:name w:val="Pie de página Car"/>
    <w:basedOn w:val="Fuentedeprrafopredeter"/>
    <w:link w:val="Piedepgina"/>
    <w:uiPriority w:val="99"/>
    <w:rsid w:val="00F91B93"/>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91B93"/>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0BD3367-AB0C-4FFD-B737-4EBEC777BE2C}"/>
</file>

<file path=customXml/itemProps2.xml><?xml version="1.0" encoding="utf-8"?>
<ds:datastoreItem xmlns:ds="http://schemas.openxmlformats.org/officeDocument/2006/customXml" ds:itemID="{BB472FF3-1AE4-4A8A-8EF1-08B510950BDF}"/>
</file>

<file path=customXml/itemProps3.xml><?xml version="1.0" encoding="utf-8"?>
<ds:datastoreItem xmlns:ds="http://schemas.openxmlformats.org/officeDocument/2006/customXml" ds:itemID="{7F7C0177-C072-47EE-AEDA-E1FC157E65E4}"/>
</file>

<file path=docProps/app.xml><?xml version="1.0" encoding="utf-8"?>
<Properties xmlns="http://schemas.openxmlformats.org/officeDocument/2006/extended-properties" xmlns:vt="http://schemas.openxmlformats.org/officeDocument/2006/docPropsVTypes">
  <Template>Normal</Template>
  <TotalTime>4</TotalTime>
  <Pages>1</Pages>
  <Words>401</Words>
  <Characters>2209</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Daniel Alberto Realpe Mejia</cp:lastModifiedBy>
  <cp:revision>1</cp:revision>
  <dcterms:created xsi:type="dcterms:W3CDTF">2025-11-26T15:18:00Z</dcterms:created>
  <dcterms:modified xsi:type="dcterms:W3CDTF">2025-11-26T15:22:00Z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